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A72FC" w14:textId="77777777" w:rsidR="00553E6D" w:rsidRPr="00553E6D" w:rsidRDefault="00553E6D" w:rsidP="00553E6D">
      <w:pPr>
        <w:pStyle w:val="ListHeading1-RNWMedia"/>
        <w:numPr>
          <w:ilvl w:val="0"/>
          <w:numId w:val="0"/>
        </w:numPr>
        <w:ind w:left="576" w:hanging="576"/>
        <w:rPr>
          <w:rFonts w:eastAsiaTheme="minorHAnsi"/>
        </w:rPr>
      </w:pPr>
      <w:bookmarkStart w:id="0" w:name="cont"/>
      <w:r w:rsidRPr="00553E6D">
        <w:rPr>
          <w:rFonts w:eastAsia="Calibri"/>
          <w:caps w:val="0"/>
          <w:lang w:eastAsia="en-US"/>
        </w:rPr>
        <w:t>COUNTRY CONTEXT ANALYSIS TEMPLATE</w:t>
      </w:r>
      <w:r w:rsidRPr="00553E6D">
        <w:tab/>
      </w:r>
      <w:r w:rsidRPr="00553E6D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16"/>
        <w:gridCol w:w="2493"/>
        <w:gridCol w:w="2493"/>
        <w:gridCol w:w="2493"/>
        <w:gridCol w:w="2493"/>
      </w:tblGrid>
      <w:tr w:rsidR="00553E6D" w:rsidRPr="00EA4716" w14:paraId="13CAE7D3" w14:textId="77777777" w:rsidTr="00553E6D">
        <w:trPr>
          <w:trHeight w:val="534"/>
        </w:trPr>
        <w:tc>
          <w:tcPr>
            <w:tcW w:w="1760" w:type="pct"/>
            <w:shd w:val="clear" w:color="auto" w:fill="554789"/>
            <w:vAlign w:val="center"/>
          </w:tcPr>
          <w:bookmarkEnd w:id="0"/>
          <w:p w14:paraId="65CA1745" w14:textId="77777777" w:rsidR="00553E6D" w:rsidRPr="0078488E" w:rsidRDefault="00553E6D" w:rsidP="00D5541B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lang w:val="en-GB"/>
              </w:rPr>
            </w:pPr>
            <w:r w:rsidRPr="0078488E">
              <w:rPr>
                <w:rFonts w:ascii="Montserrat" w:hAnsi="Montserrat"/>
                <w:b/>
                <w:bCs/>
                <w:color w:val="FFFFFF" w:themeColor="background1"/>
                <w:lang w:val="en-GB"/>
              </w:rPr>
              <w:t>RESEARCH QUESTIONS</w:t>
            </w:r>
          </w:p>
        </w:tc>
        <w:tc>
          <w:tcPr>
            <w:tcW w:w="810" w:type="pct"/>
            <w:shd w:val="clear" w:color="auto" w:fill="554789"/>
            <w:vAlign w:val="center"/>
          </w:tcPr>
          <w:p w14:paraId="14EB9739" w14:textId="77777777" w:rsidR="00553E6D" w:rsidRPr="0078488E" w:rsidRDefault="00553E6D" w:rsidP="00D5541B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lang w:val="en-GB"/>
              </w:rPr>
            </w:pPr>
            <w:r w:rsidRPr="0078488E">
              <w:rPr>
                <w:rFonts w:ascii="Montserrat" w:hAnsi="Montserrat"/>
                <w:b/>
                <w:bCs/>
                <w:color w:val="FFFFFF" w:themeColor="background1"/>
                <w:lang w:val="en-GB"/>
              </w:rPr>
              <w:t>a) Additional research questions</w:t>
            </w:r>
          </w:p>
        </w:tc>
        <w:tc>
          <w:tcPr>
            <w:tcW w:w="810" w:type="pct"/>
            <w:shd w:val="clear" w:color="auto" w:fill="554789"/>
            <w:vAlign w:val="center"/>
          </w:tcPr>
          <w:p w14:paraId="2D15216D" w14:textId="77777777" w:rsidR="00553E6D" w:rsidRPr="0078488E" w:rsidRDefault="00553E6D" w:rsidP="00D5541B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lang w:val="en-GB"/>
              </w:rPr>
            </w:pPr>
            <w:r w:rsidRPr="0078488E">
              <w:rPr>
                <w:rFonts w:ascii="Montserrat" w:hAnsi="Montserrat"/>
                <w:b/>
                <w:bCs/>
                <w:color w:val="FFFFFF" w:themeColor="background1"/>
                <w:lang w:val="en-GB"/>
              </w:rPr>
              <w:t>b) Secondary data sources</w:t>
            </w:r>
          </w:p>
        </w:tc>
        <w:tc>
          <w:tcPr>
            <w:tcW w:w="810" w:type="pct"/>
            <w:shd w:val="clear" w:color="auto" w:fill="554789"/>
            <w:vAlign w:val="center"/>
          </w:tcPr>
          <w:p w14:paraId="1EB02386" w14:textId="77777777" w:rsidR="00553E6D" w:rsidRPr="0078488E" w:rsidRDefault="00553E6D" w:rsidP="00D5541B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lang w:val="en-GB"/>
              </w:rPr>
            </w:pPr>
            <w:r w:rsidRPr="0078488E">
              <w:rPr>
                <w:rFonts w:ascii="Montserrat" w:hAnsi="Montserrat"/>
                <w:b/>
                <w:bCs/>
                <w:color w:val="FFFFFF" w:themeColor="background1"/>
                <w:lang w:val="en-GB"/>
              </w:rPr>
              <w:t>c) Research methods</w:t>
            </w:r>
          </w:p>
        </w:tc>
        <w:tc>
          <w:tcPr>
            <w:tcW w:w="810" w:type="pct"/>
            <w:shd w:val="clear" w:color="auto" w:fill="554789"/>
            <w:vAlign w:val="center"/>
          </w:tcPr>
          <w:p w14:paraId="664F85BF" w14:textId="77777777" w:rsidR="00553E6D" w:rsidRPr="0078488E" w:rsidRDefault="00553E6D" w:rsidP="00D5541B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lang w:val="en-GB"/>
              </w:rPr>
            </w:pPr>
            <w:r w:rsidRPr="0078488E">
              <w:rPr>
                <w:rFonts w:ascii="Montserrat" w:hAnsi="Montserrat"/>
                <w:b/>
                <w:bCs/>
                <w:color w:val="FFFFFF" w:themeColor="background1"/>
                <w:lang w:val="en-GB"/>
              </w:rPr>
              <w:t>d) Research tools</w:t>
            </w:r>
          </w:p>
        </w:tc>
      </w:tr>
      <w:tr w:rsidR="00553E6D" w:rsidRPr="0070241F" w14:paraId="10166500" w14:textId="77777777" w:rsidTr="00553E6D">
        <w:tc>
          <w:tcPr>
            <w:tcW w:w="1760" w:type="pct"/>
          </w:tcPr>
          <w:p w14:paraId="6A2C51A8" w14:textId="77777777" w:rsidR="00553E6D" w:rsidRPr="0070241F" w:rsidRDefault="00553E6D" w:rsidP="00553E6D">
            <w:pPr>
              <w:spacing w:before="10" w:after="1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  <w:r w:rsidRPr="0070241F"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  <w:t>Individual level</w:t>
            </w:r>
          </w:p>
        </w:tc>
        <w:tc>
          <w:tcPr>
            <w:tcW w:w="810" w:type="pct"/>
          </w:tcPr>
          <w:p w14:paraId="4145893A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23AE3ED4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6EAD0CCD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7FD100BE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</w:tr>
      <w:tr w:rsidR="00553E6D" w:rsidRPr="0070241F" w14:paraId="2C29981D" w14:textId="77777777" w:rsidTr="00553E6D">
        <w:tc>
          <w:tcPr>
            <w:tcW w:w="1760" w:type="pct"/>
          </w:tcPr>
          <w:p w14:paraId="462D5ABC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Who are the end users?</w:t>
            </w:r>
          </w:p>
        </w:tc>
        <w:tc>
          <w:tcPr>
            <w:tcW w:w="810" w:type="pct"/>
          </w:tcPr>
          <w:p w14:paraId="54FEBECE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4BEABCE0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75CC7A1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D630E55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7C87FBBC" w14:textId="77777777" w:rsidTr="00553E6D">
        <w:tc>
          <w:tcPr>
            <w:tcW w:w="1760" w:type="pct"/>
          </w:tcPr>
          <w:p w14:paraId="52BD6414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What are end users’ literacy and digital literacy levels?</w:t>
            </w:r>
          </w:p>
        </w:tc>
        <w:tc>
          <w:tcPr>
            <w:tcW w:w="810" w:type="pct"/>
          </w:tcPr>
          <w:p w14:paraId="46B54169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329B336F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710FE72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31FE1C14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71C77C17" w14:textId="77777777" w:rsidTr="00553E6D">
        <w:tc>
          <w:tcPr>
            <w:tcW w:w="1760" w:type="pct"/>
          </w:tcPr>
          <w:p w14:paraId="07D15EA6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Where are end users geographically located?</w:t>
            </w:r>
          </w:p>
        </w:tc>
        <w:tc>
          <w:tcPr>
            <w:tcW w:w="810" w:type="pct"/>
          </w:tcPr>
          <w:p w14:paraId="0628C9D2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65D323A6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700B9781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7C027E7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1C812858" w14:textId="77777777" w:rsidTr="00553E6D">
        <w:tc>
          <w:tcPr>
            <w:tcW w:w="1760" w:type="pct"/>
          </w:tcPr>
          <w:p w14:paraId="0CF080E2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What are end users’ education level?</w:t>
            </w:r>
          </w:p>
        </w:tc>
        <w:tc>
          <w:tcPr>
            <w:tcW w:w="810" w:type="pct"/>
          </w:tcPr>
          <w:p w14:paraId="018D21C4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1E551081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4066F676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4909EACA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3ABDE590" w14:textId="77777777" w:rsidTr="00553E6D">
        <w:tc>
          <w:tcPr>
            <w:tcW w:w="1760" w:type="pct"/>
          </w:tcPr>
          <w:p w14:paraId="21F56D18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What are end users’ health interests, concerns and priorities?</w:t>
            </w:r>
          </w:p>
        </w:tc>
        <w:tc>
          <w:tcPr>
            <w:tcW w:w="810" w:type="pct"/>
          </w:tcPr>
          <w:p w14:paraId="5F67033D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DF42CFB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6B6E4949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0FE66E4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55B9A56B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221C89A7" w14:textId="77777777" w:rsidR="00553E6D" w:rsidRPr="0070241F" w:rsidRDefault="00553E6D" w:rsidP="00553E6D">
            <w:pPr>
              <w:spacing w:before="10" w:after="10"/>
              <w:rPr>
                <w:rFonts w:ascii="Montserrat" w:eastAsia="Arial" w:hAnsi="Montserrat" w:cs="Arial"/>
                <w:b/>
                <w:szCs w:val="18"/>
                <w:lang w:val="en"/>
              </w:rPr>
            </w:pPr>
            <w:r w:rsidRPr="0070241F"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  <w:t>Individual level – digital channels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3BD97D6C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21AD6317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13BF2E71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28656AA9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</w:tr>
      <w:tr w:rsidR="00553E6D" w:rsidRPr="0070241F" w14:paraId="47E390DF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4E0BD369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What devices are end users using?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36BA3F4F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221B7D36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139F4D59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616702CE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6490B464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00399468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What digital channels, apps and/or websites are most popular with young people?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3BFF01A5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40EEE2B2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277BA108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4CDD65A1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289AD624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1E65578B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What are the technology and delivery channels being used for?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30DC2299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08281CC7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05E4C5EE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489E173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493DAAD3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5715E2FE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What are young people’s digital habits?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7DB201C9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0FB8238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BBF5E1C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78A21C1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467B53FE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5DCF45F4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What levels of accessibility do young people have to technology?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73BB91A8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7DCFC912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2761BF3C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6BF238D6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68BB996F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045200A2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How affordable is internet/phone access for young people?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58EEF3A8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620665B2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2A784C8F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641DDD31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3B4BC1BE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7FFA2218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What does phone ownership look like among young people? Is there phone sharing?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39FAECB4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6A578423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A752F3F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CA25961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13A11620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64547841" w14:textId="77777777" w:rsidR="00553E6D" w:rsidRPr="0070241F" w:rsidRDefault="00553E6D" w:rsidP="00553E6D">
            <w:pPr>
              <w:pStyle w:val="BulletArrows-RNWMedia"/>
              <w:numPr>
                <w:ilvl w:val="0"/>
                <w:numId w:val="2"/>
              </w:numPr>
              <w:spacing w:before="10" w:after="10"/>
            </w:pPr>
            <w:r w:rsidRPr="0070241F">
              <w:t>What are the barriers and opportunities in digital engagement?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1796347A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7867DE25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43C229A0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0AC3C674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739828D3" w14:textId="77777777" w:rsidTr="00553E6D">
        <w:tc>
          <w:tcPr>
            <w:tcW w:w="1760" w:type="pct"/>
          </w:tcPr>
          <w:p w14:paraId="25DA9621" w14:textId="77777777" w:rsidR="00553E6D" w:rsidRPr="0070241F" w:rsidRDefault="00553E6D" w:rsidP="00553E6D">
            <w:pPr>
              <w:spacing w:before="10" w:after="10"/>
              <w:rPr>
                <w:rFonts w:ascii="Montserrat" w:eastAsia="Arial" w:hAnsi="Montserrat" w:cs="Arial"/>
                <w:b/>
                <w:szCs w:val="18"/>
                <w:lang w:val="en"/>
              </w:rPr>
            </w:pPr>
            <w:r w:rsidRPr="0070241F"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  <w:t>Interpersonal level</w:t>
            </w:r>
          </w:p>
        </w:tc>
        <w:tc>
          <w:tcPr>
            <w:tcW w:w="810" w:type="pct"/>
          </w:tcPr>
          <w:p w14:paraId="4DBE34EC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15011FC6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672CA0D4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3622E42B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</w:tr>
      <w:tr w:rsidR="00553E6D" w:rsidRPr="002D67BE" w14:paraId="0F4EBC74" w14:textId="77777777" w:rsidTr="00553E6D">
        <w:tc>
          <w:tcPr>
            <w:tcW w:w="1760" w:type="pct"/>
          </w:tcPr>
          <w:p w14:paraId="2F631360" w14:textId="77777777" w:rsidR="00553E6D" w:rsidRPr="002D67BE" w:rsidRDefault="00553E6D" w:rsidP="00553E6D">
            <w:pPr>
              <w:pStyle w:val="BulletArrows-RNWMedia"/>
              <w:numPr>
                <w:ilvl w:val="0"/>
                <w:numId w:val="3"/>
              </w:numPr>
              <w:spacing w:before="10" w:after="10"/>
            </w:pPr>
            <w:r w:rsidRPr="002D67BE">
              <w:t>What does young people’s family environment look like?</w:t>
            </w:r>
          </w:p>
        </w:tc>
        <w:tc>
          <w:tcPr>
            <w:tcW w:w="810" w:type="pct"/>
          </w:tcPr>
          <w:p w14:paraId="06EB12EF" w14:textId="77777777" w:rsidR="00553E6D" w:rsidRPr="002D67BE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3421220" w14:textId="77777777" w:rsidR="00553E6D" w:rsidRPr="002D67BE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18BE0B0D" w14:textId="77777777" w:rsidR="00553E6D" w:rsidRPr="002D67BE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4DBAB8C2" w14:textId="77777777" w:rsidR="00553E6D" w:rsidRPr="002D67BE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2D67BE" w14:paraId="389DF3AE" w14:textId="77777777" w:rsidTr="00553E6D">
        <w:tc>
          <w:tcPr>
            <w:tcW w:w="1760" w:type="pct"/>
          </w:tcPr>
          <w:p w14:paraId="5AA056AD" w14:textId="77777777" w:rsidR="00553E6D" w:rsidRPr="002D67BE" w:rsidRDefault="00553E6D" w:rsidP="00553E6D">
            <w:pPr>
              <w:pStyle w:val="BulletArrows-RNWMedia"/>
              <w:numPr>
                <w:ilvl w:val="0"/>
                <w:numId w:val="3"/>
              </w:numPr>
              <w:spacing w:before="10" w:after="10"/>
            </w:pPr>
            <w:r w:rsidRPr="002D67BE">
              <w:t>What are the social influences young people encounter?</w:t>
            </w:r>
          </w:p>
        </w:tc>
        <w:tc>
          <w:tcPr>
            <w:tcW w:w="810" w:type="pct"/>
          </w:tcPr>
          <w:p w14:paraId="542A0EF3" w14:textId="77777777" w:rsidR="00553E6D" w:rsidRPr="002D67BE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6C8C73E4" w14:textId="77777777" w:rsidR="00553E6D" w:rsidRPr="002D67BE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6346D615" w14:textId="77777777" w:rsidR="00553E6D" w:rsidRPr="002D67BE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2F8FBEF8" w14:textId="77777777" w:rsidR="00553E6D" w:rsidRPr="002D67BE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6D720273" w14:textId="77777777" w:rsidTr="00553E6D">
        <w:tc>
          <w:tcPr>
            <w:tcW w:w="1760" w:type="pct"/>
          </w:tcPr>
          <w:p w14:paraId="1E9A2DE9" w14:textId="77777777" w:rsidR="00553E6D" w:rsidRPr="0070241F" w:rsidRDefault="00553E6D" w:rsidP="00553E6D">
            <w:pPr>
              <w:pStyle w:val="BulletArrows-RNWMedia"/>
              <w:numPr>
                <w:ilvl w:val="0"/>
                <w:numId w:val="3"/>
              </w:numPr>
              <w:spacing w:before="10" w:after="10"/>
            </w:pPr>
            <w:r w:rsidRPr="0070241F">
              <w:t>How do young people engage with each other as family, friends, or romantic partners?</w:t>
            </w:r>
          </w:p>
        </w:tc>
        <w:tc>
          <w:tcPr>
            <w:tcW w:w="810" w:type="pct"/>
          </w:tcPr>
          <w:p w14:paraId="1BDFF300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797A190B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5C1FB73A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47C50C34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7732256D" w14:textId="77777777" w:rsidTr="00553E6D">
        <w:tc>
          <w:tcPr>
            <w:tcW w:w="1760" w:type="pct"/>
          </w:tcPr>
          <w:p w14:paraId="49D4F4A1" w14:textId="77777777" w:rsidR="00553E6D" w:rsidRPr="0070241F" w:rsidRDefault="00553E6D" w:rsidP="00553E6D">
            <w:pPr>
              <w:spacing w:before="10" w:after="10"/>
              <w:rPr>
                <w:rFonts w:ascii="Montserrat" w:eastAsia="Arial" w:hAnsi="Montserrat" w:cs="Arial"/>
                <w:b/>
                <w:szCs w:val="18"/>
                <w:highlight w:val="green"/>
                <w:lang w:val="en"/>
              </w:rPr>
            </w:pPr>
            <w:r w:rsidRPr="0070241F"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  <w:t>Community level</w:t>
            </w:r>
          </w:p>
        </w:tc>
        <w:tc>
          <w:tcPr>
            <w:tcW w:w="810" w:type="pct"/>
          </w:tcPr>
          <w:p w14:paraId="09B9B243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33F86BCA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5C4BE7BE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6706492D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</w:tr>
      <w:tr w:rsidR="00553E6D" w:rsidRPr="0070241F" w14:paraId="544972EC" w14:textId="77777777" w:rsidTr="00553E6D">
        <w:tc>
          <w:tcPr>
            <w:tcW w:w="1760" w:type="pct"/>
          </w:tcPr>
          <w:p w14:paraId="59D2BDE2" w14:textId="77777777" w:rsidR="00553E6D" w:rsidRPr="0070241F" w:rsidRDefault="00553E6D" w:rsidP="00553E6D">
            <w:pPr>
              <w:pStyle w:val="BulletArrows-RNWMedia"/>
              <w:numPr>
                <w:ilvl w:val="0"/>
                <w:numId w:val="4"/>
              </w:numPr>
              <w:spacing w:before="10" w:after="10"/>
            </w:pPr>
            <w:r w:rsidRPr="0070241F">
              <w:t>What health interventions and programs already exist?</w:t>
            </w:r>
            <w:r w:rsidRPr="0070241F">
              <w:rPr>
                <w:i/>
                <w:iCs/>
                <w:szCs w:val="18"/>
              </w:rPr>
              <w:t xml:space="preserve"> Reflect on sexual reproductive health services:  </w:t>
            </w:r>
          </w:p>
        </w:tc>
        <w:tc>
          <w:tcPr>
            <w:tcW w:w="810" w:type="pct"/>
          </w:tcPr>
          <w:p w14:paraId="04CB678A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A4FC3D8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3118FD7A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26C0FA27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30D1693A" w14:textId="77777777" w:rsidTr="00553E6D">
        <w:tc>
          <w:tcPr>
            <w:tcW w:w="1760" w:type="pct"/>
          </w:tcPr>
          <w:p w14:paraId="20CAAFE3" w14:textId="77777777" w:rsidR="00553E6D" w:rsidRPr="0070241F" w:rsidRDefault="00553E6D" w:rsidP="00553E6D">
            <w:pPr>
              <w:pStyle w:val="ListParagraph"/>
              <w:numPr>
                <w:ilvl w:val="0"/>
                <w:numId w:val="5"/>
              </w:numPr>
              <w:spacing w:before="10" w:after="10"/>
              <w:rPr>
                <w:rFonts w:ascii="Montserrat" w:hAnsi="Montserrat" w:cs="Arial"/>
                <w:i/>
                <w:iCs/>
                <w:szCs w:val="18"/>
              </w:rPr>
            </w:pPr>
            <w:r w:rsidRPr="0070241F">
              <w:rPr>
                <w:rFonts w:ascii="Montserrat" w:hAnsi="Montserrat"/>
                <w:b/>
                <w:bCs/>
                <w:i/>
                <w:iCs/>
                <w:szCs w:val="18"/>
              </w:rPr>
              <w:t xml:space="preserve">Availability </w:t>
            </w:r>
            <w:r w:rsidRPr="0070241F">
              <w:rPr>
                <w:rFonts w:ascii="Montserrat" w:hAnsi="Montserrat"/>
                <w:i/>
                <w:iCs/>
                <w:szCs w:val="18"/>
              </w:rPr>
              <w:t xml:space="preserve">(including public and private health care facilities) </w:t>
            </w:r>
          </w:p>
        </w:tc>
        <w:tc>
          <w:tcPr>
            <w:tcW w:w="810" w:type="pct"/>
          </w:tcPr>
          <w:p w14:paraId="1ACA5D60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606CF168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4E761233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22A50C31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</w:tr>
      <w:tr w:rsidR="00553E6D" w:rsidRPr="0070241F" w14:paraId="537AA266" w14:textId="77777777" w:rsidTr="00553E6D">
        <w:tc>
          <w:tcPr>
            <w:tcW w:w="1760" w:type="pct"/>
          </w:tcPr>
          <w:p w14:paraId="6CBE9D1A" w14:textId="77777777" w:rsidR="00553E6D" w:rsidRPr="0070241F" w:rsidRDefault="00553E6D" w:rsidP="00553E6D">
            <w:pPr>
              <w:pStyle w:val="ListParagraph"/>
              <w:numPr>
                <w:ilvl w:val="0"/>
                <w:numId w:val="5"/>
              </w:numPr>
              <w:spacing w:before="10" w:after="10"/>
              <w:rPr>
                <w:rFonts w:ascii="Montserrat" w:hAnsi="Montserrat"/>
                <w:i/>
                <w:iCs/>
                <w:szCs w:val="18"/>
              </w:rPr>
            </w:pPr>
            <w:r w:rsidRPr="0070241F">
              <w:rPr>
                <w:rFonts w:ascii="Montserrat" w:hAnsi="Montserrat"/>
                <w:b/>
                <w:bCs/>
                <w:i/>
                <w:iCs/>
                <w:szCs w:val="18"/>
              </w:rPr>
              <w:t>Accessibility;</w:t>
            </w:r>
            <w:r w:rsidRPr="0070241F">
              <w:rPr>
                <w:rFonts w:ascii="Montserrat" w:hAnsi="Montserrat"/>
                <w:i/>
                <w:iCs/>
                <w:szCs w:val="18"/>
              </w:rPr>
              <w:t xml:space="preserve"> cognitive accessibility—or knowledge and awareness; psychosocial </w:t>
            </w:r>
            <w:r w:rsidRPr="0070241F">
              <w:rPr>
                <w:rFonts w:ascii="Montserrat" w:hAnsi="Montserrat"/>
                <w:i/>
                <w:iCs/>
                <w:szCs w:val="18"/>
              </w:rPr>
              <w:lastRenderedPageBreak/>
              <w:t>accessibility—reflecting cultural and social norms affecting youth’s use of SRH services; geographic accessibility–whether the facilities are within the area youth can travel to</w:t>
            </w:r>
          </w:p>
        </w:tc>
        <w:tc>
          <w:tcPr>
            <w:tcW w:w="810" w:type="pct"/>
          </w:tcPr>
          <w:p w14:paraId="679DCFC6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2C38DD56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1C8FF021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58FBEB31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</w:tr>
      <w:tr w:rsidR="00553E6D" w:rsidRPr="0070241F" w14:paraId="2FBA4CDF" w14:textId="77777777" w:rsidTr="00553E6D">
        <w:tc>
          <w:tcPr>
            <w:tcW w:w="1760" w:type="pct"/>
          </w:tcPr>
          <w:p w14:paraId="22B4F69A" w14:textId="77777777" w:rsidR="00553E6D" w:rsidRPr="0070241F" w:rsidRDefault="00553E6D" w:rsidP="00553E6D">
            <w:pPr>
              <w:pStyle w:val="ListParagraph"/>
              <w:numPr>
                <w:ilvl w:val="0"/>
                <w:numId w:val="5"/>
              </w:numPr>
              <w:spacing w:before="10" w:after="10"/>
              <w:rPr>
                <w:rFonts w:ascii="Montserrat" w:hAnsi="Montserrat" w:cs="Arial"/>
                <w:i/>
                <w:iCs/>
                <w:szCs w:val="18"/>
              </w:rPr>
            </w:pPr>
            <w:r w:rsidRPr="0070241F">
              <w:rPr>
                <w:rFonts w:ascii="Montserrat" w:hAnsi="Montserrat"/>
                <w:b/>
                <w:bCs/>
                <w:i/>
                <w:iCs/>
                <w:szCs w:val="18"/>
              </w:rPr>
              <w:t>Affordability</w:t>
            </w:r>
            <w:r w:rsidRPr="0070241F">
              <w:rPr>
                <w:rFonts w:ascii="Montserrat" w:hAnsi="Montserrat"/>
                <w:i/>
                <w:iCs/>
                <w:szCs w:val="18"/>
              </w:rPr>
              <w:t xml:space="preserve"> (public/ private)</w:t>
            </w:r>
          </w:p>
        </w:tc>
        <w:tc>
          <w:tcPr>
            <w:tcW w:w="810" w:type="pct"/>
          </w:tcPr>
          <w:p w14:paraId="136539BB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2D646EDC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00FDC30B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22303DA9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</w:tr>
      <w:tr w:rsidR="00553E6D" w:rsidRPr="0070241F" w14:paraId="28700F01" w14:textId="77777777" w:rsidTr="00553E6D">
        <w:tc>
          <w:tcPr>
            <w:tcW w:w="1760" w:type="pct"/>
          </w:tcPr>
          <w:p w14:paraId="1923C923" w14:textId="77777777" w:rsidR="00553E6D" w:rsidRPr="0070241F" w:rsidRDefault="00553E6D" w:rsidP="00553E6D">
            <w:pPr>
              <w:pStyle w:val="ListParagraph"/>
              <w:numPr>
                <w:ilvl w:val="0"/>
                <w:numId w:val="5"/>
              </w:numPr>
              <w:spacing w:before="10" w:after="10"/>
              <w:rPr>
                <w:rFonts w:ascii="Montserrat" w:hAnsi="Montserrat" w:cs="Arial"/>
                <w:i/>
                <w:iCs/>
                <w:szCs w:val="18"/>
              </w:rPr>
            </w:pPr>
            <w:r w:rsidRPr="0070241F">
              <w:rPr>
                <w:rFonts w:ascii="Montserrat" w:hAnsi="Montserrat"/>
                <w:b/>
                <w:bCs/>
                <w:i/>
                <w:iCs/>
                <w:szCs w:val="18"/>
              </w:rPr>
              <w:t>Comprehensive:</w:t>
            </w:r>
            <w:r w:rsidRPr="0070241F">
              <w:rPr>
                <w:rFonts w:ascii="Montserrat" w:hAnsi="Montserrat"/>
                <w:i/>
                <w:iCs/>
                <w:szCs w:val="18"/>
              </w:rPr>
              <w:t xml:space="preserve"> full SRH services; incl</w:t>
            </w:r>
            <w:r>
              <w:rPr>
                <w:rFonts w:ascii="Montserrat" w:hAnsi="Montserrat"/>
                <w:i/>
                <w:iCs/>
                <w:szCs w:val="18"/>
              </w:rPr>
              <w:t xml:space="preserve">. </w:t>
            </w:r>
            <w:r w:rsidRPr="0070241F">
              <w:rPr>
                <w:rFonts w:ascii="Montserrat" w:hAnsi="Montserrat"/>
                <w:i/>
                <w:iCs/>
                <w:szCs w:val="18"/>
              </w:rPr>
              <w:t xml:space="preserve">contraception, maternal health, preventing and treating sexually transmitted infections including HIV and AIDS, abortion and health information sharing. </w:t>
            </w:r>
            <w:r w:rsidRPr="0070241F">
              <w:rPr>
                <w:rFonts w:ascii="Montserrat" w:hAnsi="Montserrat" w:cs="Arial"/>
                <w:i/>
                <w:iCs/>
                <w:szCs w:val="18"/>
              </w:rPr>
              <w:t xml:space="preserve">Preventing and </w:t>
            </w:r>
            <w:proofErr w:type="gramStart"/>
            <w:r w:rsidRPr="0070241F">
              <w:rPr>
                <w:rFonts w:ascii="Montserrat" w:hAnsi="Montserrat" w:cs="Arial"/>
                <w:i/>
                <w:iCs/>
                <w:szCs w:val="18"/>
              </w:rPr>
              <w:t>managing  IPV</w:t>
            </w:r>
            <w:proofErr w:type="gramEnd"/>
            <w:r w:rsidRPr="0070241F">
              <w:rPr>
                <w:rFonts w:ascii="Montserrat" w:hAnsi="Montserrat" w:cs="Arial"/>
                <w:i/>
                <w:iCs/>
                <w:szCs w:val="18"/>
              </w:rPr>
              <w:t>/GBV</w:t>
            </w:r>
          </w:p>
        </w:tc>
        <w:tc>
          <w:tcPr>
            <w:tcW w:w="810" w:type="pct"/>
          </w:tcPr>
          <w:p w14:paraId="0CE815CD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3E991FA5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135FC7AF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5C7C5259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</w:tr>
      <w:tr w:rsidR="00553E6D" w:rsidRPr="0070241F" w:rsidDel="00C10B9D" w14:paraId="4EBCF16D" w14:textId="77777777" w:rsidTr="00553E6D">
        <w:tc>
          <w:tcPr>
            <w:tcW w:w="1760" w:type="pct"/>
          </w:tcPr>
          <w:p w14:paraId="6DFC57B3" w14:textId="77777777" w:rsidR="00553E6D" w:rsidRPr="0070241F" w:rsidDel="00C10B9D" w:rsidRDefault="00553E6D" w:rsidP="00553E6D">
            <w:pPr>
              <w:pStyle w:val="ListParagraph"/>
              <w:numPr>
                <w:ilvl w:val="0"/>
                <w:numId w:val="5"/>
              </w:numPr>
              <w:spacing w:before="10" w:after="10"/>
            </w:pPr>
            <w:r w:rsidRPr="0070241F">
              <w:rPr>
                <w:rFonts w:ascii="Montserrat" w:hAnsi="Montserrat"/>
                <w:b/>
                <w:bCs/>
                <w:i/>
                <w:iCs/>
                <w:szCs w:val="18"/>
              </w:rPr>
              <w:t>Quality of services-</w:t>
            </w:r>
            <w:r w:rsidRPr="0070241F">
              <w:rPr>
                <w:rFonts w:ascii="Montserrat" w:hAnsi="Montserrat"/>
                <w:i/>
                <w:iCs/>
                <w:szCs w:val="18"/>
              </w:rPr>
              <w:t xml:space="preserve"> whether the services are appropriate for youth as clients </w:t>
            </w:r>
          </w:p>
        </w:tc>
        <w:tc>
          <w:tcPr>
            <w:tcW w:w="810" w:type="pct"/>
          </w:tcPr>
          <w:p w14:paraId="04BD7307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72F296E7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5F940112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4BF9F1C5" w14:textId="77777777" w:rsidR="00553E6D" w:rsidRPr="00C50F85" w:rsidRDefault="00553E6D" w:rsidP="00D5541B">
            <w:pPr>
              <w:ind w:left="360"/>
              <w:rPr>
                <w:rFonts w:ascii="Montserrat" w:hAnsi="Montserrat"/>
                <w:b/>
                <w:bCs/>
                <w:i/>
                <w:iCs/>
                <w:szCs w:val="18"/>
              </w:rPr>
            </w:pPr>
          </w:p>
        </w:tc>
      </w:tr>
      <w:tr w:rsidR="00553E6D" w:rsidRPr="0070241F" w:rsidDel="00C10B9D" w14:paraId="1D7DEBCA" w14:textId="77777777" w:rsidTr="00553E6D">
        <w:tc>
          <w:tcPr>
            <w:tcW w:w="1760" w:type="pct"/>
          </w:tcPr>
          <w:p w14:paraId="4186BACA" w14:textId="77777777" w:rsidR="00553E6D" w:rsidRDefault="00553E6D" w:rsidP="00553E6D">
            <w:pPr>
              <w:pStyle w:val="BulletArrows-RNWMedia"/>
              <w:numPr>
                <w:ilvl w:val="0"/>
                <w:numId w:val="4"/>
              </w:numPr>
              <w:spacing w:before="10" w:after="10"/>
            </w:pPr>
            <w:r w:rsidRPr="0070241F">
              <w:t>What content already exists on this topic for young people?</w:t>
            </w:r>
          </w:p>
          <w:p w14:paraId="68B8A934" w14:textId="77777777" w:rsidR="00553E6D" w:rsidRPr="0070241F" w:rsidDel="00C10B9D" w:rsidRDefault="00553E6D" w:rsidP="00553E6D">
            <w:pPr>
              <w:pStyle w:val="BulletArrows-RNWMedia"/>
              <w:spacing w:before="10" w:after="10"/>
              <w:ind w:left="360" w:firstLine="0"/>
            </w:pPr>
            <w:r w:rsidRPr="005B37EE">
              <w:rPr>
                <w:rFonts w:cs="Arial"/>
                <w:i/>
                <w:iCs/>
                <w:szCs w:val="18"/>
              </w:rPr>
              <w:t>Reflect on the access and availability of SRH information for young people:</w:t>
            </w:r>
          </w:p>
        </w:tc>
        <w:tc>
          <w:tcPr>
            <w:tcW w:w="810" w:type="pct"/>
          </w:tcPr>
          <w:p w14:paraId="0F401738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28C78554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952B405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44D0E8C0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5B37EE" w14:paraId="29BD1AD1" w14:textId="77777777" w:rsidTr="00553E6D">
        <w:tc>
          <w:tcPr>
            <w:tcW w:w="1760" w:type="pct"/>
          </w:tcPr>
          <w:p w14:paraId="02CB564A" w14:textId="77777777" w:rsidR="00553E6D" w:rsidRPr="005B37EE" w:rsidRDefault="00553E6D" w:rsidP="00553E6D">
            <w:pPr>
              <w:spacing w:before="10" w:after="10"/>
              <w:ind w:left="720"/>
              <w:contextualSpacing/>
              <w:rPr>
                <w:rFonts w:ascii="Montserrat" w:hAnsi="Montserrat" w:cs="Arial"/>
                <w:i/>
                <w:iCs/>
                <w:szCs w:val="18"/>
              </w:rPr>
            </w:pPr>
            <w:r w:rsidRPr="005B37EE">
              <w:rPr>
                <w:rFonts w:ascii="Montserrat" w:hAnsi="Montserrat" w:cs="Arial"/>
                <w:i/>
                <w:iCs/>
                <w:szCs w:val="18"/>
              </w:rPr>
              <w:t>- Existing frameworks for youth sexuality education including the availability of comprehensive sexuality education</w:t>
            </w:r>
          </w:p>
        </w:tc>
        <w:tc>
          <w:tcPr>
            <w:tcW w:w="810" w:type="pct"/>
          </w:tcPr>
          <w:p w14:paraId="4DBA074F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74B744E7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35DB55A5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3A715B01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</w:tr>
      <w:tr w:rsidR="00553E6D" w:rsidRPr="0070241F" w14:paraId="37381C44" w14:textId="77777777" w:rsidTr="00553E6D">
        <w:tc>
          <w:tcPr>
            <w:tcW w:w="1760" w:type="pct"/>
          </w:tcPr>
          <w:p w14:paraId="56BA9B84" w14:textId="77777777" w:rsidR="00553E6D" w:rsidRPr="0070241F" w:rsidRDefault="00553E6D" w:rsidP="00553E6D">
            <w:pPr>
              <w:spacing w:before="10" w:after="10"/>
              <w:ind w:left="720"/>
              <w:contextualSpacing/>
              <w:rPr>
                <w:rFonts w:ascii="Montserrat" w:hAnsi="Montserrat" w:cs="Arial"/>
                <w:i/>
                <w:iCs/>
                <w:szCs w:val="18"/>
              </w:rPr>
            </w:pPr>
            <w:r w:rsidRPr="0070241F">
              <w:rPr>
                <w:rFonts w:ascii="Montserrat" w:hAnsi="Montserrat" w:cs="Arial"/>
                <w:i/>
                <w:iCs/>
                <w:szCs w:val="18"/>
              </w:rPr>
              <w:t>- Access disparities between in and out of school youth</w:t>
            </w:r>
          </w:p>
        </w:tc>
        <w:tc>
          <w:tcPr>
            <w:tcW w:w="810" w:type="pct"/>
          </w:tcPr>
          <w:p w14:paraId="4FECFDC1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51CFB70B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28AE0A59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37CFBAA5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</w:tr>
      <w:tr w:rsidR="00553E6D" w:rsidRPr="0070241F" w14:paraId="27368591" w14:textId="77777777" w:rsidTr="00553E6D">
        <w:tc>
          <w:tcPr>
            <w:tcW w:w="1760" w:type="pct"/>
          </w:tcPr>
          <w:p w14:paraId="7EA12BC0" w14:textId="77777777" w:rsidR="00553E6D" w:rsidRPr="0070241F" w:rsidRDefault="00553E6D" w:rsidP="00553E6D">
            <w:pPr>
              <w:spacing w:before="10" w:after="10"/>
              <w:ind w:left="720"/>
              <w:contextualSpacing/>
              <w:rPr>
                <w:rFonts w:ascii="Montserrat" w:hAnsi="Montserrat" w:cs="Arial"/>
                <w:i/>
                <w:iCs/>
                <w:szCs w:val="18"/>
              </w:rPr>
            </w:pPr>
            <w:r w:rsidRPr="0070241F">
              <w:rPr>
                <w:rFonts w:ascii="Montserrat" w:hAnsi="Montserrat" w:cs="Arial"/>
                <w:i/>
                <w:iCs/>
                <w:szCs w:val="18"/>
              </w:rPr>
              <w:t xml:space="preserve">- Socio-cultural barriers </w:t>
            </w:r>
            <w:proofErr w:type="gramStart"/>
            <w:r w:rsidRPr="0070241F">
              <w:rPr>
                <w:rFonts w:ascii="Montserrat" w:hAnsi="Montserrat" w:cs="Arial"/>
                <w:i/>
                <w:iCs/>
                <w:szCs w:val="18"/>
              </w:rPr>
              <w:t>to  young</w:t>
            </w:r>
            <w:proofErr w:type="gramEnd"/>
            <w:r w:rsidRPr="0070241F">
              <w:rPr>
                <w:rFonts w:ascii="Montserrat" w:hAnsi="Montserrat" w:cs="Arial"/>
                <w:i/>
                <w:iCs/>
                <w:szCs w:val="18"/>
              </w:rPr>
              <w:t xml:space="preserve"> people’s SRHR</w:t>
            </w:r>
            <w:r>
              <w:rPr>
                <w:rFonts w:ascii="Montserrat" w:hAnsi="Montserrat" w:cs="Arial"/>
                <w:i/>
                <w:iCs/>
                <w:szCs w:val="18"/>
              </w:rPr>
              <w:t xml:space="preserve"> including taboos topics and </w:t>
            </w:r>
            <w:r w:rsidRPr="0070241F">
              <w:rPr>
                <w:rFonts w:ascii="Montserrat" w:hAnsi="Montserrat" w:cs="Arial"/>
                <w:i/>
                <w:iCs/>
                <w:szCs w:val="18"/>
              </w:rPr>
              <w:t>willingness to discuss young people’s SRHR</w:t>
            </w:r>
          </w:p>
        </w:tc>
        <w:tc>
          <w:tcPr>
            <w:tcW w:w="810" w:type="pct"/>
          </w:tcPr>
          <w:p w14:paraId="081856CB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28C66EE8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5F9986DB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  <w:tc>
          <w:tcPr>
            <w:tcW w:w="810" w:type="pct"/>
          </w:tcPr>
          <w:p w14:paraId="1FD771D4" w14:textId="77777777" w:rsidR="00553E6D" w:rsidRPr="00C50F85" w:rsidRDefault="00553E6D" w:rsidP="00D5541B">
            <w:pPr>
              <w:ind w:left="1080"/>
              <w:rPr>
                <w:rFonts w:ascii="Montserrat" w:hAnsi="Montserrat" w:cs="Arial"/>
                <w:i/>
                <w:iCs/>
                <w:szCs w:val="18"/>
              </w:rPr>
            </w:pPr>
          </w:p>
        </w:tc>
      </w:tr>
      <w:tr w:rsidR="00553E6D" w:rsidRPr="0070241F" w14:paraId="10BFD21D" w14:textId="77777777" w:rsidTr="00553E6D">
        <w:tc>
          <w:tcPr>
            <w:tcW w:w="1760" w:type="pct"/>
          </w:tcPr>
          <w:p w14:paraId="71AEE450" w14:textId="77777777" w:rsidR="00553E6D" w:rsidRPr="0070241F" w:rsidRDefault="00553E6D" w:rsidP="00553E6D">
            <w:pPr>
              <w:pStyle w:val="BulletArrows-RNWMedia"/>
              <w:numPr>
                <w:ilvl w:val="0"/>
                <w:numId w:val="6"/>
              </w:numPr>
              <w:spacing w:before="10" w:after="10"/>
            </w:pPr>
            <w:r w:rsidRPr="0070241F">
              <w:t>Who are the stakeholders concerned with young people?</w:t>
            </w:r>
            <w:r>
              <w:t xml:space="preserve"> Who can impact young peoples’ lives especially in regard to their </w:t>
            </w:r>
            <w:proofErr w:type="gramStart"/>
            <w:r>
              <w:t>SRHR.</w:t>
            </w:r>
            <w:proofErr w:type="gramEnd"/>
          </w:p>
        </w:tc>
        <w:tc>
          <w:tcPr>
            <w:tcW w:w="810" w:type="pct"/>
          </w:tcPr>
          <w:p w14:paraId="5D79CCB1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24AE976A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58F393AD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13752958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105F7932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29EC5E68" w14:textId="77777777" w:rsidR="00553E6D" w:rsidRPr="0070241F" w:rsidRDefault="00553E6D" w:rsidP="00553E6D">
            <w:pPr>
              <w:pStyle w:val="BulletArrows-RNWMedia"/>
              <w:numPr>
                <w:ilvl w:val="0"/>
                <w:numId w:val="6"/>
              </w:numPr>
              <w:spacing w:before="10" w:after="10"/>
            </w:pPr>
            <w:r w:rsidRPr="0070241F">
              <w:t xml:space="preserve">What technology or delivery channels are perceived to be most pervasive in the community? 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6BEE7446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5EF9FFC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44D95872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6122D558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0D07C41F" w14:textId="77777777" w:rsidTr="00553E6D">
        <w:tc>
          <w:tcPr>
            <w:tcW w:w="1760" w:type="pct"/>
          </w:tcPr>
          <w:p w14:paraId="39B9400B" w14:textId="77777777" w:rsidR="00553E6D" w:rsidRPr="0070241F" w:rsidRDefault="00553E6D" w:rsidP="00553E6D">
            <w:pPr>
              <w:pStyle w:val="BulletArrows-RNWMedia"/>
              <w:numPr>
                <w:ilvl w:val="0"/>
                <w:numId w:val="6"/>
              </w:numPr>
              <w:spacing w:before="10" w:after="10"/>
            </w:pPr>
            <w:r w:rsidRPr="0070241F">
              <w:t>What type of media do the different segments of the young population access for information, mobilization, sharing and communication on SRHR topics?</w:t>
            </w:r>
          </w:p>
        </w:tc>
        <w:tc>
          <w:tcPr>
            <w:tcW w:w="810" w:type="pct"/>
          </w:tcPr>
          <w:p w14:paraId="12DAA769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69553092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435518C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C8608AE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38105185" w14:textId="77777777" w:rsidTr="00553E6D">
        <w:tc>
          <w:tcPr>
            <w:tcW w:w="1760" w:type="pct"/>
          </w:tcPr>
          <w:p w14:paraId="7DFB829E" w14:textId="77777777" w:rsidR="00553E6D" w:rsidRPr="00256DA0" w:rsidRDefault="00553E6D" w:rsidP="00553E6D">
            <w:pPr>
              <w:pStyle w:val="BulletArrows-RNWMedia"/>
              <w:numPr>
                <w:ilvl w:val="0"/>
                <w:numId w:val="6"/>
              </w:numPr>
              <w:spacing w:before="10" w:after="10"/>
            </w:pPr>
            <w:r w:rsidRPr="0070241F">
              <w:t xml:space="preserve">What community-level challenges are associated with young people accessing relevant health information or services? For </w:t>
            </w:r>
            <w:proofErr w:type="gramStart"/>
            <w:r w:rsidRPr="0070241F">
              <w:t>example</w:t>
            </w:r>
            <w:proofErr w:type="gramEnd"/>
            <w:r w:rsidRPr="0070241F">
              <w:t xml:space="preserve"> s</w:t>
            </w:r>
            <w:r w:rsidRPr="0070241F">
              <w:rPr>
                <w:szCs w:val="18"/>
              </w:rPr>
              <w:t xml:space="preserve">ocio-cultural barriers that exist for </w:t>
            </w:r>
            <w:r>
              <w:rPr>
                <w:szCs w:val="18"/>
              </w:rPr>
              <w:t xml:space="preserve">adolescent </w:t>
            </w:r>
            <w:r w:rsidRPr="0070241F">
              <w:rPr>
                <w:szCs w:val="18"/>
              </w:rPr>
              <w:t xml:space="preserve">woman and </w:t>
            </w:r>
            <w:r>
              <w:rPr>
                <w:szCs w:val="18"/>
              </w:rPr>
              <w:t xml:space="preserve">young </w:t>
            </w:r>
            <w:r w:rsidRPr="0070241F">
              <w:rPr>
                <w:szCs w:val="18"/>
              </w:rPr>
              <w:t xml:space="preserve">girls to access SRH services? </w:t>
            </w:r>
          </w:p>
          <w:p w14:paraId="34CEF1CB" w14:textId="77777777" w:rsidR="00553E6D" w:rsidRPr="0070241F" w:rsidRDefault="00553E6D" w:rsidP="00553E6D">
            <w:pPr>
              <w:pStyle w:val="BulletArrows-RNWMedia"/>
              <w:numPr>
                <w:ilvl w:val="0"/>
                <w:numId w:val="6"/>
              </w:numPr>
              <w:spacing w:before="10" w:after="10"/>
            </w:pPr>
            <w:r>
              <w:rPr>
                <w:szCs w:val="18"/>
              </w:rPr>
              <w:t xml:space="preserve">And other marginalised, vulnerable groups with specific SRH needs </w:t>
            </w:r>
            <w:proofErr w:type="spellStart"/>
            <w:r>
              <w:rPr>
                <w:szCs w:val="18"/>
              </w:rPr>
              <w:t>eg.</w:t>
            </w:r>
            <w:proofErr w:type="spellEnd"/>
            <w:r>
              <w:rPr>
                <w:szCs w:val="18"/>
              </w:rPr>
              <w:t xml:space="preserve"> LGBTQI youth, </w:t>
            </w:r>
            <w:r w:rsidRPr="00256DA0">
              <w:rPr>
                <w:szCs w:val="18"/>
              </w:rPr>
              <w:t>young people living with</w:t>
            </w:r>
            <w:r>
              <w:rPr>
                <w:szCs w:val="18"/>
              </w:rPr>
              <w:t xml:space="preserve"> HIV</w:t>
            </w:r>
            <w:r w:rsidRPr="00256DA0">
              <w:rPr>
                <w:szCs w:val="18"/>
              </w:rPr>
              <w:t>, disabled youth, out-of-school youth and young people living in remote rural or high-density urban setting</w:t>
            </w:r>
            <w:r>
              <w:rPr>
                <w:szCs w:val="18"/>
              </w:rPr>
              <w:t>s.</w:t>
            </w:r>
          </w:p>
        </w:tc>
        <w:tc>
          <w:tcPr>
            <w:tcW w:w="810" w:type="pct"/>
          </w:tcPr>
          <w:p w14:paraId="021EBF1C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709637C9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4DE71714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356D2AD1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73E20627" w14:textId="77777777" w:rsidTr="00553E6D">
        <w:tc>
          <w:tcPr>
            <w:tcW w:w="1760" w:type="pct"/>
          </w:tcPr>
          <w:p w14:paraId="65141AA1" w14:textId="77777777" w:rsidR="00553E6D" w:rsidRPr="0070241F" w:rsidRDefault="00553E6D" w:rsidP="00553E6D">
            <w:pPr>
              <w:pStyle w:val="BulletArrows-RNWMedia"/>
              <w:numPr>
                <w:ilvl w:val="0"/>
                <w:numId w:val="6"/>
              </w:numPr>
              <w:spacing w:before="10" w:after="10"/>
            </w:pPr>
            <w:r w:rsidRPr="0070241F">
              <w:lastRenderedPageBreak/>
              <w:t>What groups or organizations are reaching young people already and could assist in other efforts (promotion and marketing, developing content and delivery channel, pretesting, etc.)?</w:t>
            </w:r>
          </w:p>
        </w:tc>
        <w:tc>
          <w:tcPr>
            <w:tcW w:w="810" w:type="pct"/>
          </w:tcPr>
          <w:p w14:paraId="4F4E7EFC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116A63FD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398A9D9A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15CCFBBC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5A13DF30" w14:textId="77777777" w:rsidTr="00553E6D">
        <w:tc>
          <w:tcPr>
            <w:tcW w:w="1760" w:type="pct"/>
          </w:tcPr>
          <w:p w14:paraId="41130279" w14:textId="77777777" w:rsidR="00553E6D" w:rsidRPr="0070241F" w:rsidRDefault="00553E6D" w:rsidP="00553E6D">
            <w:pPr>
              <w:pStyle w:val="BulletArrows-RNWMedia"/>
              <w:numPr>
                <w:ilvl w:val="0"/>
                <w:numId w:val="6"/>
              </w:numPr>
              <w:spacing w:before="10" w:after="10"/>
            </w:pPr>
            <w:r w:rsidRPr="0070241F">
              <w:t xml:space="preserve">What are the social expectations </w:t>
            </w:r>
            <w:r>
              <w:t xml:space="preserve">/ norms </w:t>
            </w:r>
            <w:r w:rsidRPr="0070241F">
              <w:t>of young people?</w:t>
            </w:r>
          </w:p>
        </w:tc>
        <w:tc>
          <w:tcPr>
            <w:tcW w:w="810" w:type="pct"/>
          </w:tcPr>
          <w:p w14:paraId="1152C2FD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2F0F0E05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6F99B2CD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766D4C45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7AF3F37E" w14:textId="77777777" w:rsidTr="00553E6D">
        <w:tc>
          <w:tcPr>
            <w:tcW w:w="1760" w:type="pct"/>
          </w:tcPr>
          <w:p w14:paraId="47661279" w14:textId="77777777" w:rsidR="00553E6D" w:rsidRPr="0070241F" w:rsidRDefault="00553E6D" w:rsidP="00553E6D">
            <w:pPr>
              <w:pStyle w:val="BulletArrows-RNWMedia"/>
              <w:numPr>
                <w:ilvl w:val="0"/>
                <w:numId w:val="6"/>
              </w:numPr>
              <w:spacing w:before="10" w:after="10"/>
            </w:pPr>
            <w:r w:rsidRPr="0070241F">
              <w:t xml:space="preserve">What </w:t>
            </w:r>
            <w:proofErr w:type="gramStart"/>
            <w:r w:rsidRPr="0070241F">
              <w:t>are</w:t>
            </w:r>
            <w:proofErr w:type="gramEnd"/>
            <w:r w:rsidRPr="0070241F">
              <w:t xml:space="preserve"> relevant culture and/or customs? </w:t>
            </w:r>
            <w:r>
              <w:t>Especially in regard to SRHR.</w:t>
            </w:r>
          </w:p>
        </w:tc>
        <w:tc>
          <w:tcPr>
            <w:tcW w:w="810" w:type="pct"/>
          </w:tcPr>
          <w:p w14:paraId="31DF8439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66E0577F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47898657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1F3A455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016A18DE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7BD125D4" w14:textId="77777777" w:rsidR="00553E6D" w:rsidRPr="0070241F" w:rsidRDefault="00553E6D" w:rsidP="00553E6D">
            <w:pPr>
              <w:pStyle w:val="BulletArrows-RNWMedia"/>
              <w:numPr>
                <w:ilvl w:val="0"/>
                <w:numId w:val="6"/>
              </w:numPr>
              <w:spacing w:before="10" w:after="10"/>
            </w:pPr>
            <w:r w:rsidRPr="0070241F">
              <w:t>What are young people seeking out or lacking that a digital health intervention could address?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21A52CEE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58B96420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5B430C45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63A9B71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54B64E8B" w14:textId="77777777" w:rsidTr="00553E6D">
        <w:tc>
          <w:tcPr>
            <w:tcW w:w="1760" w:type="pct"/>
          </w:tcPr>
          <w:p w14:paraId="5E48B5D1" w14:textId="77777777" w:rsidR="00553E6D" w:rsidRPr="0070241F" w:rsidRDefault="00553E6D" w:rsidP="00553E6D">
            <w:pPr>
              <w:spacing w:before="10" w:after="10"/>
              <w:rPr>
                <w:rFonts w:ascii="Montserrat" w:eastAsia="Arial" w:hAnsi="Montserrat" w:cs="Arial"/>
                <w:b/>
                <w:szCs w:val="18"/>
                <w:lang w:val="en"/>
              </w:rPr>
            </w:pPr>
            <w:r w:rsidRPr="0070241F"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  <w:t>Public health and public policy level</w:t>
            </w:r>
          </w:p>
        </w:tc>
        <w:tc>
          <w:tcPr>
            <w:tcW w:w="810" w:type="pct"/>
          </w:tcPr>
          <w:p w14:paraId="26740379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4BB5F127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1DF147DA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  <w:tc>
          <w:tcPr>
            <w:tcW w:w="810" w:type="pct"/>
          </w:tcPr>
          <w:p w14:paraId="4C5E3223" w14:textId="77777777" w:rsidR="00553E6D" w:rsidRPr="00C50F85" w:rsidRDefault="00553E6D" w:rsidP="00D5541B">
            <w:pPr>
              <w:ind w:left="360"/>
              <w:rPr>
                <w:rFonts w:ascii="Montserrat" w:eastAsia="Arial" w:hAnsi="Montserrat" w:cs="Arial"/>
                <w:b/>
                <w:color w:val="554789"/>
                <w:szCs w:val="18"/>
                <w:lang w:val="en"/>
              </w:rPr>
            </w:pPr>
          </w:p>
        </w:tc>
      </w:tr>
      <w:tr w:rsidR="00553E6D" w:rsidRPr="0070241F" w14:paraId="33BD5108" w14:textId="77777777" w:rsidTr="00553E6D">
        <w:tc>
          <w:tcPr>
            <w:tcW w:w="1760" w:type="pct"/>
          </w:tcPr>
          <w:p w14:paraId="70EFFE90" w14:textId="77777777" w:rsidR="00553E6D" w:rsidRPr="0070241F" w:rsidRDefault="00553E6D" w:rsidP="00553E6D">
            <w:pPr>
              <w:pStyle w:val="BulletArrows-RNWMedia"/>
              <w:numPr>
                <w:ilvl w:val="0"/>
                <w:numId w:val="7"/>
              </w:numPr>
              <w:spacing w:before="10" w:after="10"/>
            </w:pPr>
            <w:r w:rsidRPr="0070241F">
              <w:t>What are the current health statistics?</w:t>
            </w:r>
          </w:p>
        </w:tc>
        <w:tc>
          <w:tcPr>
            <w:tcW w:w="810" w:type="pct"/>
          </w:tcPr>
          <w:p w14:paraId="4205D2DF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747798E3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2B31418A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1BAC1564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0750D640" w14:textId="77777777" w:rsidTr="00553E6D">
        <w:tc>
          <w:tcPr>
            <w:tcW w:w="1760" w:type="pct"/>
          </w:tcPr>
          <w:p w14:paraId="00DA6020" w14:textId="77777777" w:rsidR="00553E6D" w:rsidRPr="00863628" w:rsidRDefault="00553E6D" w:rsidP="00553E6D">
            <w:pPr>
              <w:pStyle w:val="BulletArrows-RNWMedia"/>
              <w:numPr>
                <w:ilvl w:val="6"/>
                <w:numId w:val="8"/>
              </w:numPr>
              <w:spacing w:before="10" w:after="10"/>
              <w:rPr>
                <w:i/>
                <w:iCs/>
              </w:rPr>
            </w:pPr>
            <w:r w:rsidRPr="00863628">
              <w:rPr>
                <w:i/>
                <w:iCs/>
              </w:rPr>
              <w:t xml:space="preserve">STI and HIV prevalence </w:t>
            </w:r>
          </w:p>
        </w:tc>
        <w:tc>
          <w:tcPr>
            <w:tcW w:w="810" w:type="pct"/>
          </w:tcPr>
          <w:p w14:paraId="54A65249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0BAFB03D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6E08BA72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5FE5A0A5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</w:tr>
      <w:tr w:rsidR="00553E6D" w:rsidRPr="0070241F" w14:paraId="64F874D4" w14:textId="77777777" w:rsidTr="00553E6D">
        <w:tc>
          <w:tcPr>
            <w:tcW w:w="1760" w:type="pct"/>
          </w:tcPr>
          <w:p w14:paraId="433815D7" w14:textId="77777777" w:rsidR="00553E6D" w:rsidRPr="00863628" w:rsidRDefault="00553E6D" w:rsidP="00553E6D">
            <w:pPr>
              <w:pStyle w:val="BulletArrows-RNWMedia"/>
              <w:numPr>
                <w:ilvl w:val="6"/>
                <w:numId w:val="8"/>
              </w:numPr>
              <w:spacing w:before="10" w:after="10"/>
              <w:rPr>
                <w:i/>
                <w:iCs/>
              </w:rPr>
            </w:pPr>
            <w:r w:rsidRPr="00863628">
              <w:rPr>
                <w:i/>
                <w:iCs/>
              </w:rPr>
              <w:t>Regional disparities in health outcomes</w:t>
            </w:r>
          </w:p>
        </w:tc>
        <w:tc>
          <w:tcPr>
            <w:tcW w:w="810" w:type="pct"/>
          </w:tcPr>
          <w:p w14:paraId="59AAA29C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022D1BC8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178F8AB8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78C97E1F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</w:tr>
      <w:tr w:rsidR="00553E6D" w:rsidRPr="0070241F" w14:paraId="215B0A2D" w14:textId="77777777" w:rsidTr="00553E6D">
        <w:tc>
          <w:tcPr>
            <w:tcW w:w="1760" w:type="pct"/>
          </w:tcPr>
          <w:p w14:paraId="2AA6D5BD" w14:textId="77777777" w:rsidR="00553E6D" w:rsidRPr="00863628" w:rsidRDefault="00553E6D" w:rsidP="00553E6D">
            <w:pPr>
              <w:pStyle w:val="BulletArrows-RNWMedia"/>
              <w:numPr>
                <w:ilvl w:val="6"/>
                <w:numId w:val="8"/>
              </w:numPr>
              <w:spacing w:before="10" w:after="10"/>
              <w:rPr>
                <w:i/>
                <w:iCs/>
              </w:rPr>
            </w:pPr>
            <w:r w:rsidRPr="00863628">
              <w:rPr>
                <w:i/>
                <w:iCs/>
              </w:rPr>
              <w:t>Key marginalised populations (</w:t>
            </w:r>
            <w:proofErr w:type="spellStart"/>
            <w:r w:rsidRPr="00863628">
              <w:rPr>
                <w:i/>
                <w:iCs/>
              </w:rPr>
              <w:t>eg.</w:t>
            </w:r>
            <w:proofErr w:type="spellEnd"/>
            <w:r w:rsidRPr="00863628">
              <w:rPr>
                <w:i/>
                <w:iCs/>
              </w:rPr>
              <w:t xml:space="preserve"> LGBTQI young people, people living with disabilities)</w:t>
            </w:r>
          </w:p>
        </w:tc>
        <w:tc>
          <w:tcPr>
            <w:tcW w:w="810" w:type="pct"/>
          </w:tcPr>
          <w:p w14:paraId="5D627CA4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26547646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114A14FA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6213817A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</w:tr>
      <w:tr w:rsidR="00553E6D" w:rsidRPr="0070241F" w14:paraId="463E99F4" w14:textId="77777777" w:rsidTr="00553E6D">
        <w:tc>
          <w:tcPr>
            <w:tcW w:w="1760" w:type="pct"/>
          </w:tcPr>
          <w:p w14:paraId="3CA2268E" w14:textId="77777777" w:rsidR="00553E6D" w:rsidRPr="00863628" w:rsidRDefault="00553E6D" w:rsidP="00553E6D">
            <w:pPr>
              <w:pStyle w:val="BulletArrows-RNWMedia"/>
              <w:numPr>
                <w:ilvl w:val="6"/>
                <w:numId w:val="8"/>
              </w:numPr>
              <w:spacing w:before="10" w:after="10"/>
              <w:rPr>
                <w:i/>
                <w:iCs/>
              </w:rPr>
            </w:pPr>
            <w:r w:rsidRPr="00863628">
              <w:rPr>
                <w:i/>
                <w:iCs/>
              </w:rPr>
              <w:t xml:space="preserve">Prevalence of intimate partner violence and gender-based violence including judicial overview. </w:t>
            </w:r>
          </w:p>
        </w:tc>
        <w:tc>
          <w:tcPr>
            <w:tcW w:w="810" w:type="pct"/>
          </w:tcPr>
          <w:p w14:paraId="33ADF6FE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33E94D35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1843C96A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7B92B535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</w:tr>
      <w:tr w:rsidR="00553E6D" w:rsidRPr="0070241F" w14:paraId="3439132A" w14:textId="77777777" w:rsidTr="00553E6D">
        <w:tc>
          <w:tcPr>
            <w:tcW w:w="1760" w:type="pct"/>
          </w:tcPr>
          <w:p w14:paraId="6AA50E77" w14:textId="77777777" w:rsidR="00553E6D" w:rsidRPr="00863628" w:rsidRDefault="00553E6D" w:rsidP="00553E6D">
            <w:pPr>
              <w:pStyle w:val="BulletArrows-RNWMedia"/>
              <w:numPr>
                <w:ilvl w:val="6"/>
                <w:numId w:val="8"/>
              </w:numPr>
              <w:spacing w:before="10" w:after="10"/>
              <w:rPr>
                <w:i/>
                <w:iCs/>
              </w:rPr>
            </w:pPr>
            <w:r w:rsidRPr="00863628">
              <w:rPr>
                <w:i/>
                <w:iCs/>
              </w:rPr>
              <w:t xml:space="preserve">Prevalence of harmful gender and social norms that impact young people’s health outcomes and their health seeking </w:t>
            </w:r>
            <w:proofErr w:type="gramStart"/>
            <w:r w:rsidRPr="00863628">
              <w:rPr>
                <w:i/>
                <w:iCs/>
              </w:rPr>
              <w:t>behaviour;</w:t>
            </w:r>
            <w:proofErr w:type="gramEnd"/>
            <w:r w:rsidRPr="00863628">
              <w:rPr>
                <w:i/>
                <w:iCs/>
              </w:rPr>
              <w:t xml:space="preserve"> </w:t>
            </w:r>
            <w:proofErr w:type="spellStart"/>
            <w:r w:rsidRPr="00863628">
              <w:rPr>
                <w:i/>
                <w:iCs/>
              </w:rPr>
              <w:t>eg.</w:t>
            </w:r>
            <w:proofErr w:type="spellEnd"/>
            <w:r w:rsidRPr="00863628">
              <w:rPr>
                <w:i/>
                <w:iCs/>
              </w:rPr>
              <w:t xml:space="preserve"> child marriage, FGC. </w:t>
            </w:r>
          </w:p>
        </w:tc>
        <w:tc>
          <w:tcPr>
            <w:tcW w:w="810" w:type="pct"/>
          </w:tcPr>
          <w:p w14:paraId="5928C97D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0CC6AD96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3CFDF98E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  <w:tc>
          <w:tcPr>
            <w:tcW w:w="810" w:type="pct"/>
          </w:tcPr>
          <w:p w14:paraId="765BA0E9" w14:textId="77777777" w:rsidR="00553E6D" w:rsidRPr="0070241F" w:rsidRDefault="00553E6D" w:rsidP="00D5541B">
            <w:pPr>
              <w:pStyle w:val="BulletArrows-RNWMedia"/>
              <w:ind w:left="4680" w:firstLine="0"/>
            </w:pPr>
          </w:p>
        </w:tc>
      </w:tr>
      <w:tr w:rsidR="00553E6D" w:rsidRPr="0070241F" w14:paraId="1BBE3E66" w14:textId="77777777" w:rsidTr="00553E6D">
        <w:tc>
          <w:tcPr>
            <w:tcW w:w="1760" w:type="pct"/>
          </w:tcPr>
          <w:p w14:paraId="0CA10A4D" w14:textId="77777777" w:rsidR="00553E6D" w:rsidRPr="0070241F" w:rsidRDefault="00553E6D" w:rsidP="00553E6D">
            <w:pPr>
              <w:pStyle w:val="BulletArrows-RNWMedia"/>
              <w:numPr>
                <w:ilvl w:val="0"/>
                <w:numId w:val="7"/>
              </w:numPr>
              <w:spacing w:before="10" w:after="10"/>
            </w:pPr>
            <w:r w:rsidRPr="0070241F">
              <w:t xml:space="preserve">What are the </w:t>
            </w:r>
            <w:r>
              <w:t>SRH r</w:t>
            </w:r>
            <w:r w:rsidRPr="0070241F">
              <w:t>elated policy/campaigns?</w:t>
            </w:r>
          </w:p>
        </w:tc>
        <w:tc>
          <w:tcPr>
            <w:tcW w:w="810" w:type="pct"/>
          </w:tcPr>
          <w:p w14:paraId="1914EFDC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53429420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3C397B39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04390D42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60823E59" w14:textId="77777777" w:rsidTr="00553E6D">
        <w:tc>
          <w:tcPr>
            <w:tcW w:w="1760" w:type="pct"/>
          </w:tcPr>
          <w:p w14:paraId="6C6C82FA" w14:textId="77777777" w:rsidR="00553E6D" w:rsidRPr="0070241F" w:rsidRDefault="00553E6D" w:rsidP="00553E6D">
            <w:pPr>
              <w:pStyle w:val="BulletArrows-RNWMedia"/>
              <w:numPr>
                <w:ilvl w:val="0"/>
                <w:numId w:val="7"/>
              </w:numPr>
              <w:spacing w:before="10" w:after="10"/>
            </w:pPr>
            <w:r w:rsidRPr="0070241F">
              <w:t>What current health policies focus on young people?</w:t>
            </w:r>
          </w:p>
        </w:tc>
        <w:tc>
          <w:tcPr>
            <w:tcW w:w="810" w:type="pct"/>
          </w:tcPr>
          <w:p w14:paraId="19E9AC4E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3483ED00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4427E979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4A34A3F1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170B5152" w14:textId="77777777" w:rsidTr="00553E6D">
        <w:tc>
          <w:tcPr>
            <w:tcW w:w="1760" w:type="pct"/>
          </w:tcPr>
          <w:p w14:paraId="7F9EC873" w14:textId="77777777" w:rsidR="00553E6D" w:rsidRPr="0070241F" w:rsidRDefault="00553E6D" w:rsidP="00553E6D">
            <w:pPr>
              <w:pStyle w:val="BulletArrows-RNWMedia"/>
              <w:numPr>
                <w:ilvl w:val="0"/>
                <w:numId w:val="7"/>
              </w:numPr>
              <w:spacing w:before="10" w:after="10"/>
            </w:pPr>
            <w:r w:rsidRPr="0070241F">
              <w:t>What are recent or possible developments and/ or major incidents that could affect the delivery or access to SRHR services?</w:t>
            </w:r>
          </w:p>
        </w:tc>
        <w:tc>
          <w:tcPr>
            <w:tcW w:w="810" w:type="pct"/>
          </w:tcPr>
          <w:p w14:paraId="097CE81B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17E0FEE5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2D9F5BAD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</w:tcPr>
          <w:p w14:paraId="558CD66F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4B0BC613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283B66F8" w14:textId="77777777" w:rsidR="00553E6D" w:rsidRPr="0070241F" w:rsidRDefault="00553E6D" w:rsidP="00553E6D">
            <w:pPr>
              <w:pStyle w:val="BulletArrows-RNWMedia"/>
              <w:numPr>
                <w:ilvl w:val="0"/>
                <w:numId w:val="7"/>
              </w:numPr>
              <w:spacing w:before="10" w:after="10"/>
            </w:pPr>
            <w:r w:rsidRPr="0070241F">
              <w:t>What is the present and expected on-line and real-life safety and security situation in the country?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09EA0A12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7290FD13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F49A602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077267FB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07830139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1DBAA218" w14:textId="77777777" w:rsidR="00553E6D" w:rsidRPr="0070241F" w:rsidRDefault="00553E6D" w:rsidP="00553E6D">
            <w:pPr>
              <w:pStyle w:val="BulletArrows-RNWMedia"/>
              <w:numPr>
                <w:ilvl w:val="0"/>
                <w:numId w:val="7"/>
              </w:numPr>
              <w:spacing w:before="10" w:after="10"/>
            </w:pPr>
            <w:r w:rsidRPr="0070241F">
              <w:t>What are the digital developments in the country? What does the landscape look like in terms of stakeholders, gatekeepers and censors?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1BE9285F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5ABE7A16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585E72F6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A6D2075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  <w:tr w:rsidR="00553E6D" w:rsidRPr="0070241F" w14:paraId="694CEA69" w14:textId="77777777" w:rsidTr="00553E6D">
        <w:tc>
          <w:tcPr>
            <w:tcW w:w="1760" w:type="pct"/>
            <w:shd w:val="clear" w:color="auto" w:fill="D9D9D9" w:themeFill="background1" w:themeFillShade="D9"/>
          </w:tcPr>
          <w:p w14:paraId="47D29D95" w14:textId="77777777" w:rsidR="00553E6D" w:rsidRPr="0070241F" w:rsidRDefault="00553E6D" w:rsidP="00553E6D">
            <w:pPr>
              <w:pStyle w:val="BulletArrows-RNWMedia"/>
              <w:numPr>
                <w:ilvl w:val="0"/>
                <w:numId w:val="7"/>
              </w:numPr>
              <w:spacing w:before="10" w:after="10"/>
            </w:pPr>
            <w:r w:rsidRPr="0070241F">
              <w:t xml:space="preserve">What is the relevant legislation around data gathering and privacy in country? </w:t>
            </w:r>
          </w:p>
        </w:tc>
        <w:tc>
          <w:tcPr>
            <w:tcW w:w="810" w:type="pct"/>
            <w:shd w:val="clear" w:color="auto" w:fill="D9D9D9" w:themeFill="background1" w:themeFillShade="D9"/>
          </w:tcPr>
          <w:p w14:paraId="75F4279B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2A05447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4BCE0215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  <w:tc>
          <w:tcPr>
            <w:tcW w:w="810" w:type="pct"/>
            <w:shd w:val="clear" w:color="auto" w:fill="D9D9D9" w:themeFill="background1" w:themeFillShade="D9"/>
          </w:tcPr>
          <w:p w14:paraId="3932B4C0" w14:textId="77777777" w:rsidR="00553E6D" w:rsidRPr="0070241F" w:rsidRDefault="00553E6D" w:rsidP="00D5541B">
            <w:pPr>
              <w:pStyle w:val="BulletArrows-RNWMedia"/>
              <w:ind w:left="360" w:firstLine="0"/>
            </w:pPr>
          </w:p>
        </w:tc>
      </w:tr>
    </w:tbl>
    <w:p w14:paraId="0AFD48BC" w14:textId="77777777" w:rsidR="00746C7D" w:rsidRDefault="00746C7D"/>
    <w:sectPr w:rsidR="00746C7D" w:rsidSect="00553E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 Alternates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7122E"/>
    <w:multiLevelType w:val="hybridMultilevel"/>
    <w:tmpl w:val="52AE549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40EAA"/>
    <w:multiLevelType w:val="hybridMultilevel"/>
    <w:tmpl w:val="6E1CC572"/>
    <w:styleLink w:val="111111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996A9D"/>
    <w:multiLevelType w:val="hybridMultilevel"/>
    <w:tmpl w:val="CCA8D4A4"/>
    <w:lvl w:ilvl="0" w:tplc="90360598">
      <w:start w:val="1"/>
      <w:numFmt w:val="bullet"/>
      <w:lvlText w:val="›"/>
      <w:lvlJc w:val="left"/>
      <w:pPr>
        <w:ind w:left="1344" w:hanging="210"/>
      </w:pPr>
      <w:rPr>
        <w:rFonts w:ascii="Montserrat Alternates" w:hAnsi="Montserrat Alternates" w:hint="default"/>
        <w:b/>
        <w:bCs w:val="0"/>
        <w:i w:val="0"/>
        <w:color w:val="554789"/>
        <w:sz w:val="24"/>
      </w:rPr>
    </w:lvl>
    <w:lvl w:ilvl="1" w:tplc="08090003">
      <w:start w:val="1"/>
      <w:numFmt w:val="bullet"/>
      <w:lvlText w:val="o"/>
      <w:lvlJc w:val="left"/>
      <w:pPr>
        <w:ind w:left="-24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17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10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5" w:tplc="1ABAB42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6" w:tplc="1ABAB42C"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7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</w:abstractNum>
  <w:abstractNum w:abstractNumId="3" w15:restartNumberingAfterBreak="0">
    <w:nsid w:val="5C6433E4"/>
    <w:multiLevelType w:val="hybridMultilevel"/>
    <w:tmpl w:val="1742C71E"/>
    <w:lvl w:ilvl="0" w:tplc="1ABAB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AB42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D0F6A"/>
    <w:multiLevelType w:val="hybridMultilevel"/>
    <w:tmpl w:val="17A6BA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AC53AD"/>
    <w:multiLevelType w:val="hybridMultilevel"/>
    <w:tmpl w:val="D7D2531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032259"/>
    <w:multiLevelType w:val="hybridMultilevel"/>
    <w:tmpl w:val="E6D2B1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F96096"/>
    <w:multiLevelType w:val="hybridMultilevel"/>
    <w:tmpl w:val="A47E1026"/>
    <w:lvl w:ilvl="0" w:tplc="C082F6E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 w:tplc="80187ECA">
      <w:start w:val="1"/>
      <w:numFmt w:val="decimal"/>
      <w:pStyle w:val="ListHeading1-RNWMedia"/>
      <w:lvlText w:val="%1.%2"/>
      <w:lvlJc w:val="left"/>
      <w:pPr>
        <w:ind w:left="576" w:hanging="576"/>
      </w:pPr>
      <w:rPr>
        <w:rFonts w:hint="default"/>
      </w:rPr>
    </w:lvl>
    <w:lvl w:ilvl="2" w:tplc="6EAC3E28">
      <w:start w:val="1"/>
      <w:numFmt w:val="decimal"/>
      <w:pStyle w:val="ListHeading2-RNWMedia"/>
      <w:lvlText w:val="%1.%2.%3"/>
      <w:lvlJc w:val="left"/>
      <w:pPr>
        <w:ind w:left="720" w:hanging="720"/>
      </w:pPr>
      <w:rPr>
        <w:rFonts w:hint="default"/>
      </w:rPr>
    </w:lvl>
    <w:lvl w:ilvl="3" w:tplc="D7DA54BC">
      <w:start w:val="1"/>
      <w:numFmt w:val="decimal"/>
      <w:pStyle w:val="ListHeading3-RNWMedia"/>
      <w:lvlText w:val="%1.%2.%3.%4"/>
      <w:lvlJc w:val="left"/>
      <w:pPr>
        <w:ind w:left="864" w:hanging="864"/>
      </w:pPr>
      <w:rPr>
        <w:rFonts w:hint="default"/>
      </w:rPr>
    </w:lvl>
    <w:lvl w:ilvl="4" w:tplc="21ECB7BC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 w:tplc="4738BBE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plc="F4C27E6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plc="BAE8E446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plc="155CCE8C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6D"/>
    <w:rsid w:val="00553E6D"/>
    <w:rsid w:val="00657F16"/>
    <w:rsid w:val="007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1C339"/>
  <w15:chartTrackingRefBased/>
  <w15:docId w15:val="{560728AC-81AB-AA40-9B86-11350995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3E6D"/>
    <w:rPr>
      <w:rFonts w:ascii="Calibri" w:eastAsia="Calibri" w:hAnsi="Calibri" w:cs="Times New Roman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553E6D"/>
    <w:pPr>
      <w:ind w:left="720"/>
      <w:contextualSpacing/>
    </w:pPr>
  </w:style>
  <w:style w:type="table" w:styleId="TableGrid">
    <w:name w:val="Table Grid"/>
    <w:basedOn w:val="TableNormal"/>
    <w:uiPriority w:val="39"/>
    <w:rsid w:val="00553E6D"/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Arrows-RNWMedia">
    <w:name w:val="Bullet Arrows - RNW Media"/>
    <w:basedOn w:val="Normal"/>
    <w:rsid w:val="00553E6D"/>
    <w:pPr>
      <w:ind w:left="1344" w:hanging="210"/>
    </w:pPr>
    <w:rPr>
      <w:rFonts w:ascii="Montserrat" w:hAnsi="Montserrat"/>
      <w:color w:val="000000"/>
      <w:szCs w:val="20"/>
      <w:lang w:val="en-GB"/>
    </w:rPr>
  </w:style>
  <w:style w:type="paragraph" w:customStyle="1" w:styleId="ListHeading1-RNWMedia">
    <w:name w:val="List Heading 1 - RNW Media"/>
    <w:basedOn w:val="Normal"/>
    <w:rsid w:val="00553E6D"/>
    <w:pPr>
      <w:keepNext/>
      <w:keepLines/>
      <w:numPr>
        <w:ilvl w:val="1"/>
        <w:numId w:val="1"/>
      </w:numPr>
      <w:spacing w:before="240" w:after="240"/>
      <w:outlineLvl w:val="0"/>
    </w:pPr>
    <w:rPr>
      <w:rFonts w:ascii="Montserrat" w:eastAsia="Times New Roman" w:hAnsi="Montserrat"/>
      <w:b/>
      <w:bCs/>
      <w:caps/>
      <w:color w:val="554789"/>
      <w:sz w:val="32"/>
      <w:szCs w:val="32"/>
      <w:lang w:val="en-GB" w:eastAsia="en-GB"/>
    </w:rPr>
  </w:style>
  <w:style w:type="paragraph" w:customStyle="1" w:styleId="ListHeading2-RNWMedia">
    <w:name w:val="List Heading 2 - RNW Media"/>
    <w:basedOn w:val="Normal"/>
    <w:rsid w:val="00553E6D"/>
    <w:pPr>
      <w:numPr>
        <w:ilvl w:val="2"/>
        <w:numId w:val="1"/>
      </w:numPr>
      <w:spacing w:after="80" w:line="360" w:lineRule="auto"/>
    </w:pPr>
    <w:rPr>
      <w:rFonts w:ascii="Montserrat" w:hAnsi="Montserrat"/>
      <w:b/>
      <w:bCs/>
      <w:color w:val="554789"/>
      <w:sz w:val="24"/>
      <w:lang w:val="en-GB" w:eastAsia="en-GB"/>
    </w:rPr>
  </w:style>
  <w:style w:type="paragraph" w:customStyle="1" w:styleId="ListHeading3-RNWMedia">
    <w:name w:val="List Heading 3 - RNW Media"/>
    <w:basedOn w:val="Normal"/>
    <w:rsid w:val="00553E6D"/>
    <w:pPr>
      <w:numPr>
        <w:ilvl w:val="3"/>
        <w:numId w:val="1"/>
      </w:numPr>
      <w:spacing w:after="80" w:line="360" w:lineRule="auto"/>
    </w:pPr>
    <w:rPr>
      <w:rFonts w:ascii="Montserrat" w:hAnsi="Montserrat"/>
      <w:b/>
      <w:bCs/>
      <w:color w:val="554789"/>
      <w:sz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553E6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2</cp:revision>
  <dcterms:created xsi:type="dcterms:W3CDTF">2021-02-08T13:44:00Z</dcterms:created>
  <dcterms:modified xsi:type="dcterms:W3CDTF">2021-02-08T13:44:00Z</dcterms:modified>
</cp:coreProperties>
</file>